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88" w:rsidRPr="00391088" w:rsidRDefault="00391088" w:rsidP="00391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bookmarkStart w:id="0" w:name="_GoBack"/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Coverslips:</w:t>
      </w:r>
    </w:p>
    <w:p w:rsidR="00391088" w:rsidRPr="00391088" w:rsidRDefault="00391088" w:rsidP="003910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Arial" w:eastAsia="Times New Roman" w:hAnsi="Arial" w:cs="Arial"/>
          <w:sz w:val="20"/>
          <w:szCs w:val="20"/>
          <w:lang w:eastAsia="en-AU"/>
        </w:rPr>
        <w:t>Only #1.5 coverslips (170 µm) should be used.</w:t>
      </w:r>
    </w:p>
    <w:p w:rsidR="00391088" w:rsidRPr="00391088" w:rsidRDefault="00391088" w:rsidP="00391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Mounting media:</w:t>
      </w:r>
    </w:p>
    <w:p w:rsidR="00391088" w:rsidRPr="00391088" w:rsidRDefault="00391088" w:rsidP="003910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Arial" w:eastAsia="Times New Roman" w:hAnsi="Arial" w:cs="Arial"/>
          <w:sz w:val="20"/>
          <w:szCs w:val="20"/>
          <w:lang w:eastAsia="en-AU"/>
        </w:rPr>
        <w:t>The choice of mounting medium can severely affect the imaging results.</w:t>
      </w:r>
    </w:p>
    <w:p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We recommend as a non-setting for of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VectaShield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– </w:t>
      </w:r>
      <w:proofErr w:type="spellStart"/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VectaShield</w:t>
      </w:r>
      <w:proofErr w:type="spellEnd"/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 xml:space="preserve"> H1000</w:t>
      </w:r>
    </w:p>
    <w:p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Avoid mounting media that solidify (e.g. hard setting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Vectashield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, 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Mowiol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® 4-88 and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ProLong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Gold), as these media tend to shrink and flatten the sample, resulting in a loss of volume information. Also avoid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Citifluor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or DAKO mounting media</w:t>
      </w:r>
    </w:p>
    <w:p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Avoid mounting media that contains DAPI. This creates background in the image that can easily be avoided by staining for DAPI during the IF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labeling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and washing off.</w:t>
      </w:r>
    </w:p>
    <w:p w:rsidR="00391088" w:rsidRPr="00391088" w:rsidRDefault="00391088" w:rsidP="003910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Other mounting media can be used, these include:</w:t>
      </w:r>
    </w:p>
    <w:p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90% glycerol with some anti-fade agent</w:t>
      </w:r>
    </w:p>
    <w:p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Murray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Antifade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Mounting Media</w:t>
      </w:r>
    </w:p>
    <w:p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nPG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(n-propyl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gallate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)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Antifade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Mounting Media</w:t>
      </w:r>
    </w:p>
    <w:p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PPD (P-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phenylenediamine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)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Antifade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Mounting Media</w:t>
      </w:r>
    </w:p>
    <w:p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Antifade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1: 1,4-phenylene-diamine</w:t>
      </w:r>
    </w:p>
    <w:p w:rsidR="00391088" w:rsidRPr="00391088" w:rsidRDefault="00391088" w:rsidP="003910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DABCO (1,4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diazobizyclo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[2,2,2]octane)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Antifade</w:t>
      </w:r>
      <w:proofErr w:type="spellEnd"/>
    </w:p>
    <w:p w:rsidR="00391088" w:rsidRPr="00391088" w:rsidRDefault="00391088" w:rsidP="003910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eastAsia="en-AU"/>
        </w:rPr>
        <w:t> The sample:</w:t>
      </w:r>
    </w:p>
    <w:p w:rsidR="00391088" w:rsidRPr="00391088" w:rsidRDefault="00391088" w:rsidP="003910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SIM works best close to the coverslip and best results are typically within the first 18µm. Imaging deeper is possible but after 25µm image quality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deteriorites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rapidly. Imaging in tissue usually gives poor results unless the tissue has been thoroughly cleared.</w:t>
      </w:r>
    </w:p>
    <w:p w:rsidR="00391088" w:rsidRPr="00391088" w:rsidRDefault="00391088" w:rsidP="003910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Imaging plated cells and bacteria often yields great results. With good labelling and bright secondaries (e.g. Alexa488, 568, 647) you should expect excellent images.</w:t>
      </w:r>
    </w:p>
    <w:p w:rsidR="00391088" w:rsidRPr="00391088" w:rsidRDefault="00391088" w:rsidP="003910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sz w:val="20"/>
          <w:szCs w:val="20"/>
          <w:lang w:eastAsia="en-AU"/>
        </w:rPr>
      </w:pPr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Imaging in transparent organisms has been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succesful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, but more challenging. SIM in </w:t>
      </w:r>
      <w:proofErr w:type="spellStart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>C.elegans</w:t>
      </w:r>
      <w:proofErr w:type="spellEnd"/>
      <w:r w:rsidRPr="00391088">
        <w:rPr>
          <w:rFonts w:ascii="inherit" w:eastAsia="Times New Roman" w:hAnsi="inherit" w:cs="Arial"/>
          <w:sz w:val="20"/>
          <w:szCs w:val="20"/>
          <w:lang w:eastAsia="en-AU"/>
        </w:rPr>
        <w:t xml:space="preserve"> has given good results</w:t>
      </w:r>
    </w:p>
    <w:bookmarkEnd w:id="0"/>
    <w:p w:rsidR="00B91386" w:rsidRDefault="00AA6F55"/>
    <w:sectPr w:rsidR="00B91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54A93"/>
    <w:multiLevelType w:val="multilevel"/>
    <w:tmpl w:val="460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2027B9"/>
    <w:multiLevelType w:val="multilevel"/>
    <w:tmpl w:val="52B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88"/>
    <w:rsid w:val="001D407D"/>
    <w:rsid w:val="002920C1"/>
    <w:rsid w:val="00391088"/>
    <w:rsid w:val="00AA6F55"/>
    <w:rsid w:val="00F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7DB9-7F6F-4C46-BD16-277B700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Thompson</dc:creator>
  <cp:keywords/>
  <dc:description/>
  <cp:lastModifiedBy>Andrew Thompson</cp:lastModifiedBy>
  <cp:revision>2</cp:revision>
  <dcterms:created xsi:type="dcterms:W3CDTF">2019-01-24T04:56:00Z</dcterms:created>
  <dcterms:modified xsi:type="dcterms:W3CDTF">2019-01-24T04:56:00Z</dcterms:modified>
</cp:coreProperties>
</file>